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535B" w14:textId="196A94A8" w:rsidR="00F12C76" w:rsidRDefault="00A72EE6" w:rsidP="006C0B77">
      <w:pPr>
        <w:spacing w:after="0"/>
        <w:ind w:firstLine="709"/>
        <w:jc w:val="both"/>
        <w:rPr>
          <w:rFonts w:ascii="Times New Roman" w:hAnsi="Times New Roman" w:cs="Times New Roman"/>
          <w:b/>
          <w:color w:val="201F1E"/>
          <w:sz w:val="28"/>
          <w:szCs w:val="28"/>
          <w:shd w:val="clear" w:color="auto" w:fill="FFFFFF"/>
          <w:lang w:val="kk-KZ"/>
        </w:rPr>
      </w:pPr>
      <w:r>
        <w:rPr>
          <w:rFonts w:ascii="Times New Roman" w:hAnsi="Times New Roman" w:cs="Times New Roman"/>
          <w:sz w:val="28"/>
          <w:szCs w:val="28"/>
          <w:lang w:val="kk-KZ" w:eastAsia="ko-KR"/>
        </w:rPr>
        <w:t xml:space="preserve">Практикалық сабақ </w:t>
      </w:r>
      <w:r w:rsidR="00FC456C" w:rsidRPr="00FC456C">
        <w:rPr>
          <w:rFonts w:ascii="Times New Roman" w:hAnsi="Times New Roman" w:cs="Times New Roman"/>
          <w:b/>
          <w:color w:val="201F1E"/>
          <w:sz w:val="28"/>
          <w:szCs w:val="28"/>
          <w:shd w:val="clear" w:color="auto" w:fill="FFFFFF"/>
          <w:lang w:val="kk-KZ"/>
        </w:rPr>
        <w:t xml:space="preserve"> 5</w:t>
      </w:r>
      <w:r>
        <w:rPr>
          <w:rFonts w:ascii="Times New Roman" w:hAnsi="Times New Roman" w:cs="Times New Roman"/>
          <w:b/>
          <w:color w:val="201F1E"/>
          <w:sz w:val="28"/>
          <w:szCs w:val="28"/>
          <w:shd w:val="clear" w:color="auto" w:fill="FFFFFF"/>
          <w:lang w:val="kk-KZ"/>
        </w:rPr>
        <w:t>.</w:t>
      </w:r>
      <w:r w:rsidR="009306DA">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sz w:val="28"/>
          <w:szCs w:val="28"/>
          <w:lang w:val="kk-KZ"/>
        </w:rPr>
        <w:t>Мемлекеттік және жергілікті  басқару жүйесінің  қағидалары</w:t>
      </w:r>
    </w:p>
    <w:p w14:paraId="5EAE0BE7" w14:textId="77777777" w:rsidR="008A4FB2" w:rsidRDefault="008A4FB2" w:rsidP="008A4FB2">
      <w:pPr>
        <w:tabs>
          <w:tab w:val="left" w:pos="0"/>
        </w:tabs>
        <w:rPr>
          <w:rFonts w:ascii="Times New Roman" w:hAnsi="Times New Roman" w:cs="Times New Roman"/>
          <w:bCs/>
          <w:color w:val="201F1E"/>
          <w:sz w:val="28"/>
          <w:szCs w:val="28"/>
          <w:shd w:val="clear" w:color="auto" w:fill="FFFFFF"/>
          <w:lang w:val="kk-KZ"/>
        </w:rPr>
      </w:pPr>
      <w:r w:rsidRPr="008A4FB2">
        <w:rPr>
          <w:rFonts w:ascii="Times New Roman" w:hAnsi="Times New Roman" w:cs="Times New Roman"/>
          <w:bCs/>
          <w:color w:val="201F1E"/>
          <w:sz w:val="28"/>
          <w:szCs w:val="28"/>
          <w:shd w:val="clear" w:color="auto" w:fill="FFFFFF"/>
          <w:lang w:val="kk-KZ"/>
        </w:rPr>
        <w:t xml:space="preserve">       </w:t>
      </w:r>
    </w:p>
    <w:p w14:paraId="158F0BD6" w14:textId="77777777" w:rsidR="008A4FB2" w:rsidRDefault="008A4FB2" w:rsidP="008A4FB2">
      <w:pPr>
        <w:tabs>
          <w:tab w:val="left" w:pos="0"/>
        </w:tabs>
        <w:rPr>
          <w:rFonts w:ascii="Times New Roman" w:hAnsi="Times New Roman" w:cs="Times New Roman"/>
          <w:bCs/>
          <w:color w:val="201F1E"/>
          <w:sz w:val="28"/>
          <w:szCs w:val="28"/>
          <w:shd w:val="clear" w:color="auto" w:fill="FFFFFF"/>
          <w:lang w:val="kk-KZ"/>
        </w:rPr>
      </w:pPr>
    </w:p>
    <w:p w14:paraId="5CF06F60" w14:textId="634FE07F" w:rsidR="008A4FB2" w:rsidRPr="008A4FB2" w:rsidRDefault="008A4FB2" w:rsidP="008A4FB2">
      <w:pPr>
        <w:tabs>
          <w:tab w:val="left" w:pos="0"/>
        </w:tabs>
        <w:rPr>
          <w:rFonts w:ascii="Times New Roman" w:hAnsi="Times New Roman" w:cs="Times New Roman"/>
          <w:bCs/>
          <w:sz w:val="28"/>
          <w:szCs w:val="28"/>
          <w:lang w:val="kk-KZ"/>
        </w:rPr>
      </w:pPr>
      <w:r w:rsidRPr="008A4FB2">
        <w:rPr>
          <w:rFonts w:ascii="Times New Roman" w:hAnsi="Times New Roman" w:cs="Times New Roman"/>
          <w:bCs/>
          <w:color w:val="201F1E"/>
          <w:sz w:val="28"/>
          <w:szCs w:val="28"/>
          <w:shd w:val="clear" w:color="auto" w:fill="FFFFFF"/>
          <w:lang w:val="kk-KZ"/>
        </w:rPr>
        <w:t xml:space="preserve">Сабақтың </w:t>
      </w:r>
      <w:r w:rsidRPr="008A4FB2">
        <w:rPr>
          <w:rFonts w:ascii="Times New Roman" w:hAnsi="Times New Roman" w:cs="Times New Roman"/>
          <w:bCs/>
          <w:sz w:val="28"/>
          <w:szCs w:val="28"/>
          <w:lang w:val="kk-KZ"/>
        </w:rPr>
        <w:t xml:space="preserve"> мақсаты – Студенттерге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r w:rsidRPr="008A4FB2">
        <w:rPr>
          <w:rFonts w:ascii="Times New Roman" w:hAnsi="Times New Roman" w:cs="Times New Roman"/>
          <w:bCs/>
          <w:sz w:val="28"/>
          <w:szCs w:val="28"/>
          <w:lang w:val="kk-KZ"/>
        </w:rPr>
        <w:t xml:space="preserve">  жан-жақты кешенді </w:t>
      </w:r>
      <w:r w:rsidR="009306DA">
        <w:rPr>
          <w:rFonts w:ascii="Times New Roman" w:hAnsi="Times New Roman" w:cs="Times New Roman"/>
          <w:bCs/>
          <w:sz w:val="28"/>
          <w:szCs w:val="28"/>
          <w:lang w:val="kk-KZ"/>
        </w:rPr>
        <w:t>пікір алмасу</w:t>
      </w:r>
      <w:r w:rsidR="009306DA">
        <w:rPr>
          <w:rFonts w:ascii="Times New Roman" w:hAnsi="Times New Roman" w:cs="Times New Roman"/>
          <w:sz w:val="28"/>
          <w:szCs w:val="28"/>
          <w:lang w:val="kk-KZ" w:eastAsia="ko-KR"/>
        </w:rPr>
        <w:t xml:space="preserve"> және ой-тұжырымдар</w:t>
      </w:r>
    </w:p>
    <w:p w14:paraId="0EED95B6"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Сұрақтар:</w:t>
      </w:r>
    </w:p>
    <w:p w14:paraId="4B9526CE"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 xml:space="preserve">1.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p>
    <w:p w14:paraId="33FE95D0"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2.М</w:t>
      </w:r>
      <w:r w:rsidRPr="008A4FB2">
        <w:rPr>
          <w:rFonts w:ascii="Times New Roman" w:hAnsi="Times New Roman" w:cs="Times New Roman"/>
          <w:bCs/>
          <w:color w:val="201F1E"/>
          <w:sz w:val="28"/>
          <w:szCs w:val="28"/>
          <w:shd w:val="clear" w:color="auto" w:fill="FFFFFF"/>
          <w:lang w:val="kk-KZ"/>
        </w:rPr>
        <w:t>емлекеттік және жергілікті  басқару жүйесінің  ерекшеліктері</w:t>
      </w:r>
    </w:p>
    <w:p w14:paraId="48C61265" w14:textId="77777777" w:rsidR="008A4FB2" w:rsidRDefault="008A4FB2" w:rsidP="008A4FB2">
      <w:pPr>
        <w:rPr>
          <w:lang w:val="kk-KZ"/>
        </w:rPr>
      </w:pPr>
    </w:p>
    <w:p w14:paraId="71BC919E"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b/>
          <w:bCs/>
          <w:color w:val="000000"/>
          <w:spacing w:val="2"/>
          <w:sz w:val="28"/>
          <w:szCs w:val="28"/>
          <w:bdr w:val="none" w:sz="0" w:space="0" w:color="auto" w:frame="1"/>
          <w:lang w:val="kk-KZ"/>
        </w:rPr>
        <w:t>Мемлекеттік басқарудың негізгі қағидаттары</w:t>
      </w:r>
    </w:p>
    <w:p w14:paraId="6A2B4DF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w:t>
      </w:r>
    </w:p>
    <w:p w14:paraId="1A59CDA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Қағидаттар мемлекеттік басқару жүйесінің негізгі қырларын, маңызды сипаттамаларын көрсетеді және мемлекеттік саясатты қалыптастыру мен іске асыруда, сондай-ақ мемлекеттік шешімдерді қабылдауда бағдар ретінде қызмет етуге арналған.</w:t>
      </w:r>
    </w:p>
    <w:p w14:paraId="02323A03"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"Халық үніне құлақ асатын мемлекет" қағидаты</w:t>
      </w:r>
    </w:p>
    <w:p w14:paraId="5BE8321F"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саясат немесе реформа "Ең алдымен адамдар" басты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p w14:paraId="75D7AF78"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p w14:paraId="6E73882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үзақ мерзімді мақсаттарға қол жеткізу кезінде проблемалардың туындауын болғызбауға немесе олардан келетін залалды барынша азайтуға бағытталған.</w:t>
      </w:r>
    </w:p>
    <w:p w14:paraId="613A257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 саясатты жүргізу тәуекелдерді басқару жүйелерімен тығыз интеграцияланған және қатерлердің орын алу ықтималдылығын төмендету үшін ресурстарды уақтылы болуді білдіреді.</w:t>
      </w:r>
    </w:p>
    <w:p w14:paraId="0EBB3699"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lastRenderedPageBreak/>
        <w:t>      Орнықты экономикалық өсудің, қоғам мен бизнесті дамытудың қажетті шарты заңның үстемдігін қамтамасыз ету болып табылады, мұнда мемлекет адамның іргелі құқықтарын сақтаудың кепілі болуға тиіс.</w:t>
      </w:r>
    </w:p>
    <w:p w14:paraId="3F2A3731"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Тиімді мемлекет қағидаты</w:t>
      </w:r>
    </w:p>
    <w:p w14:paraId="519421B3"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тиімділігі кез келген мемлекеттің дамуы және азаматтардың өмір сүру сапасын арттыру үшін шешуші фактор болып табылады.</w:t>
      </w:r>
    </w:p>
    <w:p w14:paraId="3ADDB422"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p w14:paraId="6654499A"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p w14:paraId="4A987D33"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Тиімділікті бағалау мемлекеттік басқарудың өнімділігін арттыруды қамтамасыз ету үшін ұдайы түрде жүргізілуге тиіс.</w:t>
      </w:r>
    </w:p>
    <w:p w14:paraId="5707E8B7"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Есеп беретін мемлекет қағидаты</w:t>
      </w:r>
    </w:p>
    <w:p w14:paraId="6577907E"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Бұл қағидат: ақпараттық ашықтықты, қолжетімділікті, қоғамға есеп берушілікті қамтиды.</w:t>
      </w:r>
    </w:p>
    <w:p w14:paraId="36EF0DB6"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xml:space="preserve">      </w:t>
      </w:r>
      <w:r w:rsidRPr="007D7008">
        <w:rPr>
          <w:color w:val="000000"/>
          <w:spacing w:val="2"/>
          <w:sz w:val="28"/>
          <w:szCs w:val="28"/>
          <w:lang w:val="kk-KZ"/>
        </w:rPr>
        <w:t>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 құралдарын кеңінен пайдалануға негізделеді.</w:t>
      </w:r>
    </w:p>
    <w:p w14:paraId="0BEDD417"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басқару институттары үшін қоғамдық игілік жеке мүдделерден жоғары тұруға тиіс.</w:t>
      </w:r>
    </w:p>
    <w:p w14:paraId="3DEE2915"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p w14:paraId="74AAE357"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Кәсіби мемлекет қағидаты</w:t>
      </w:r>
    </w:p>
    <w:p w14:paraId="5AE08334"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p w14:paraId="721652CE"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p w14:paraId="5D739EC6"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p w14:paraId="379EE82C"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 Прагматикалық мемлекет қағидаты</w:t>
      </w:r>
    </w:p>
    <w:p w14:paraId="663DBC72"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p w14:paraId="697340CC"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lastRenderedPageBreak/>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p w14:paraId="0589B4B8"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Осы қағидатқа сәйкес мемлекеттік шешімдер ғылыми зерттеу (объективтілік, қайталану, байқап көру) әдістеріне негізделген жеткілікті объективті дәлелдемелік база болған кезде ғана қабылданады. Мемлекеттік саясаттың сабақтастығын, әсіресе іске асырылу нәтижелері ұзақ мерзімді перспективада қол жеткізілетін салаларда қамтамасыз ету қажет.</w:t>
      </w:r>
    </w:p>
    <w:p w14:paraId="0EE6ABD2"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Қаржы ресурстарын басқару ұтымдылық пен прагматизмнің тиісті деңгейін сақтап,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p w14:paraId="425A5AE0"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Мемлекеттің үдемелі және орнықты дамуына мемлекеттік басқару жүйесін жаппай цифрландыру арқылы да қол жеткізілетін болады.</w:t>
      </w:r>
    </w:p>
    <w:p w14:paraId="1F5D1712" w14:textId="77777777" w:rsidR="008A4FB2" w:rsidRDefault="008A4FB2" w:rsidP="008A4FB2">
      <w:pPr>
        <w:rPr>
          <w:lang w:val="kk-KZ"/>
        </w:rPr>
      </w:pPr>
    </w:p>
    <w:p w14:paraId="514AE342" w14:textId="77777777" w:rsidR="008A4FB2" w:rsidRDefault="008A4FB2" w:rsidP="008A4FB2">
      <w:pPr>
        <w:tabs>
          <w:tab w:val="left" w:pos="1215"/>
        </w:tabs>
        <w:rPr>
          <w:lang w:val="kk-KZ"/>
        </w:rPr>
      </w:pPr>
      <w:r>
        <w:rPr>
          <w:lang w:val="kk-KZ"/>
        </w:rPr>
        <w:tab/>
        <w:t>Пайдаланылатын  әдебиеттер:</w:t>
      </w:r>
    </w:p>
    <w:p w14:paraId="40FD2D06" w14:textId="77777777" w:rsidR="008A4FB2" w:rsidRDefault="008A4FB2" w:rsidP="008A4FB2">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7D7008">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4BB5150C"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CF54D5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9A4F698"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89505F3"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812283A"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3B9DF0BE"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3529814A"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1451CCAD"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125C5B1"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411DDDA9"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31CD6560"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2FB6EA91"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17519C96"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0F0ED2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25C6AFA9"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24DAC9A"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8E3715B"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188068A2"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13AC7A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1709F902"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74A28310"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22.Рой А.М. Основы государственного и муниципиального управления-Санкт-Перетург: Питер,  2019-432 с.</w:t>
      </w:r>
    </w:p>
    <w:p w14:paraId="198AE5A4"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00987C8E"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74EEFAFF" w14:textId="77777777" w:rsidR="008A4FB2" w:rsidRDefault="008A4FB2" w:rsidP="008A4FB2">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0F1FF74F"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85F5BA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D4BFA38"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6CB2D68"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B99BA4E"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538D4622"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DC873AB" w14:textId="77777777" w:rsidR="008A4FB2" w:rsidRPr="00932E8E" w:rsidRDefault="008A4FB2" w:rsidP="008A4FB2">
      <w:pPr>
        <w:spacing w:after="0"/>
        <w:ind w:firstLine="709"/>
        <w:jc w:val="both"/>
        <w:rPr>
          <w:lang w:val="kk-KZ"/>
        </w:rPr>
      </w:pPr>
    </w:p>
    <w:p w14:paraId="63C9F191" w14:textId="3E0A67D9" w:rsidR="008A4FB2" w:rsidRPr="008A4FB2" w:rsidRDefault="008A4FB2" w:rsidP="008A4FB2">
      <w:pPr>
        <w:tabs>
          <w:tab w:val="left" w:pos="1095"/>
        </w:tabs>
        <w:rPr>
          <w:rFonts w:ascii="Times New Roman" w:hAnsi="Times New Roman" w:cs="Times New Roman"/>
          <w:sz w:val="28"/>
          <w:szCs w:val="28"/>
          <w:lang w:val="kk-KZ"/>
        </w:rPr>
      </w:pPr>
    </w:p>
    <w:sectPr w:rsidR="008A4FB2" w:rsidRPr="008A4FB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9C"/>
    <w:rsid w:val="006C0B77"/>
    <w:rsid w:val="006F1C33"/>
    <w:rsid w:val="008242FF"/>
    <w:rsid w:val="00870751"/>
    <w:rsid w:val="008A4FB2"/>
    <w:rsid w:val="00922C48"/>
    <w:rsid w:val="009306DA"/>
    <w:rsid w:val="00A72EE6"/>
    <w:rsid w:val="00B915B7"/>
    <w:rsid w:val="00E13D9C"/>
    <w:rsid w:val="00EA59DF"/>
    <w:rsid w:val="00EE4070"/>
    <w:rsid w:val="00F12C76"/>
    <w:rsid w:val="00FC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C02F"/>
  <w15:chartTrackingRefBased/>
  <w15:docId w15:val="{DA98D1E5-BCC6-4937-B285-EF18E69F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8A4F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1362</Words>
  <Characters>7768</Characters>
  <Application>Microsoft Office Word</Application>
  <DocSecurity>0</DocSecurity>
  <Lines>64</Lines>
  <Paragraphs>18</Paragraphs>
  <ScaleCrop>false</ScaleCrop>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2021-09-23T02:53:00Z</dcterms:created>
  <dcterms:modified xsi:type="dcterms:W3CDTF">2021-09-23T05:39:00Z</dcterms:modified>
</cp:coreProperties>
</file>